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52A35" w14:textId="0F3AF9D0" w:rsidR="002B7EB7" w:rsidRDefault="002B7EB7" w:rsidP="002B7EB7">
      <w:pPr>
        <w:pStyle w:val="CRCoverPage"/>
        <w:tabs>
          <w:tab w:val="right" w:pos="9639"/>
        </w:tabs>
        <w:spacing w:after="0"/>
        <w:rPr>
          <w:b/>
          <w:i/>
          <w:noProof/>
          <w:sz w:val="28"/>
        </w:rPr>
      </w:pPr>
      <w:bookmarkStart w:id="0" w:name="_Toc5272604"/>
      <w:r>
        <w:rPr>
          <w:b/>
          <w:noProof/>
          <w:sz w:val="24"/>
        </w:rPr>
        <w:t>3GPP TSG-RAN WG2 Meeting #108</w:t>
      </w:r>
      <w:r>
        <w:rPr>
          <w:b/>
          <w:i/>
          <w:noProof/>
          <w:sz w:val="28"/>
        </w:rPr>
        <w:tab/>
      </w:r>
      <w:r w:rsidRPr="001B0297">
        <w:rPr>
          <w:b/>
          <w:i/>
          <w:noProof/>
          <w:sz w:val="28"/>
        </w:rPr>
        <w:t>R2-19152</w:t>
      </w:r>
      <w:r>
        <w:rPr>
          <w:b/>
          <w:i/>
          <w:noProof/>
          <w:sz w:val="28"/>
        </w:rPr>
        <w:t>79</w:t>
      </w:r>
      <w:bookmarkStart w:id="1" w:name="_GoBack"/>
      <w:bookmarkEnd w:id="1"/>
    </w:p>
    <w:p w14:paraId="46A10287" w14:textId="77777777" w:rsidR="002B7EB7" w:rsidRPr="00A41C60" w:rsidRDefault="002B7EB7" w:rsidP="002B7EB7">
      <w:pPr>
        <w:pStyle w:val="Header"/>
        <w:rPr>
          <w:sz w:val="22"/>
          <w:lang w:eastAsia="zh-CN"/>
        </w:rPr>
      </w:pPr>
      <w:r>
        <w:rPr>
          <w:sz w:val="22"/>
          <w:lang w:eastAsia="zh-CN"/>
        </w:rPr>
        <w:t>Reno</w:t>
      </w:r>
      <w:r w:rsidRPr="00A41C60">
        <w:rPr>
          <w:sz w:val="22"/>
          <w:lang w:eastAsia="zh-CN"/>
        </w:rPr>
        <w:t xml:space="preserve">, </w:t>
      </w:r>
      <w:r>
        <w:rPr>
          <w:sz w:val="22"/>
          <w:lang w:eastAsia="zh-CN"/>
        </w:rPr>
        <w:t>USA</w:t>
      </w:r>
      <w:r w:rsidRPr="00A41C60">
        <w:rPr>
          <w:sz w:val="22"/>
          <w:lang w:eastAsia="zh-CN"/>
        </w:rPr>
        <w:t>, 18</w:t>
      </w:r>
      <w:r w:rsidRPr="008D229B">
        <w:rPr>
          <w:sz w:val="22"/>
          <w:vertAlign w:val="superscript"/>
          <w:lang w:eastAsia="zh-CN"/>
        </w:rPr>
        <w:t>th</w:t>
      </w:r>
      <w:r w:rsidRPr="00A41C60">
        <w:rPr>
          <w:sz w:val="22"/>
          <w:lang w:eastAsia="zh-CN"/>
        </w:rPr>
        <w:t xml:space="preserve"> </w:t>
      </w:r>
      <w:r>
        <w:rPr>
          <w:sz w:val="22"/>
          <w:lang w:eastAsia="zh-CN"/>
        </w:rPr>
        <w:t>– 22</w:t>
      </w:r>
      <w:r w:rsidRPr="001B0297">
        <w:rPr>
          <w:sz w:val="22"/>
          <w:vertAlign w:val="superscript"/>
          <w:lang w:eastAsia="zh-CN"/>
        </w:rPr>
        <w:t>nd</w:t>
      </w:r>
      <w:r>
        <w:rPr>
          <w:sz w:val="22"/>
          <w:lang w:eastAsia="zh-CN"/>
        </w:rPr>
        <w:t xml:space="preserve"> Nov</w:t>
      </w:r>
      <w:r w:rsidRPr="00A41C60">
        <w:rPr>
          <w:sz w:val="22"/>
          <w:lang w:eastAsia="zh-CN"/>
        </w:rPr>
        <w:t xml:space="preserve"> 2019</w:t>
      </w:r>
    </w:p>
    <w:p w14:paraId="1EF00FF6" w14:textId="77777777" w:rsidR="00752755" w:rsidRPr="00A41C60" w:rsidRDefault="00752755" w:rsidP="00752755">
      <w:pPr>
        <w:pStyle w:val="Header"/>
        <w:rPr>
          <w:sz w:val="22"/>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279896CB" w:rsidR="001A77E9" w:rsidRDefault="00B832AF">
            <w:pPr>
              <w:pStyle w:val="CRCoverPage"/>
              <w:spacing w:after="0"/>
              <w:jc w:val="right"/>
              <w:rPr>
                <w:b/>
                <w:noProof/>
                <w:sz w:val="28"/>
              </w:rPr>
            </w:pPr>
            <w:r>
              <w:rPr>
                <w:b/>
                <w:noProof/>
                <w:sz w:val="28"/>
              </w:rPr>
              <w:t>36.3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64F9C12A" w:rsidR="001A77E9" w:rsidRDefault="005B08DF">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31DEE4E0" w:rsidR="001A77E9" w:rsidRDefault="0042224B">
            <w:pPr>
              <w:pStyle w:val="CRCoverPage"/>
              <w:spacing w:after="0"/>
              <w:jc w:val="center"/>
              <w:rPr>
                <w:noProof/>
                <w:sz w:val="28"/>
              </w:rPr>
            </w:pPr>
            <w:r>
              <w:rPr>
                <w:b/>
                <w:noProof/>
                <w:sz w:val="28"/>
              </w:rPr>
              <w:t>15.</w:t>
            </w:r>
            <w:r w:rsidR="00446A08">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148A10B1" w:rsidR="001A77E9" w:rsidRDefault="0042224B">
            <w:pPr>
              <w:pStyle w:val="CRCoverPage"/>
              <w:spacing w:after="0"/>
              <w:ind w:left="100"/>
              <w:rPr>
                <w:noProof/>
              </w:rPr>
            </w:pPr>
            <w:r w:rsidRPr="005E529F">
              <w:rPr>
                <w:noProof/>
              </w:rPr>
              <w:t>2019-</w:t>
            </w:r>
            <w:r w:rsidR="00856735" w:rsidRPr="005E529F">
              <w:rPr>
                <w:noProof/>
              </w:rPr>
              <w:t>10-</w:t>
            </w:r>
            <w:r w:rsidR="005E529F" w:rsidRPr="005E529F">
              <w:rPr>
                <w:noProof/>
              </w:rPr>
              <w:t>28</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77777777"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08D11AE0" w14:textId="77777777" w:rsidR="0042224B" w:rsidRDefault="0042224B" w:rsidP="00625A0C">
            <w:pPr>
              <w:pStyle w:val="CRCoverPage"/>
              <w:numPr>
                <w:ilvl w:val="0"/>
                <w:numId w:val="7"/>
              </w:numPr>
              <w:tabs>
                <w:tab w:val="left" w:pos="384"/>
              </w:tabs>
              <w:spacing w:before="20" w:after="80"/>
              <w:rPr>
                <w:noProof/>
              </w:rPr>
            </w:pPr>
            <w:r w:rsidRPr="0042224B">
              <w:rPr>
                <w:noProof/>
              </w:rPr>
              <w:t>LTE UE in IDLE mode, IDLE with suspended, and INACTIVE can be configured with NR early measurements to support fast setup of (NG)EN-DC (i.e. euCA is extended to support NR measurements). Details are FFS</w:t>
            </w:r>
          </w:p>
          <w:p w14:paraId="75675E39"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w:t>
            </w:r>
            <w:r w:rsidR="006935A3">
              <w:rPr>
                <w:noProof/>
              </w:rPr>
              <w:t>s</w:t>
            </w:r>
            <w:r w:rsidRPr="00B75511">
              <w:rPr>
                <w:noProof/>
              </w:rPr>
              <w:t xml:space="preserve">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BF247AB" w14:textId="781745CF" w:rsidR="004300CB" w:rsidRDefault="004300CB" w:rsidP="004300CB">
            <w:pPr>
              <w:pStyle w:val="CRCoverPage"/>
              <w:tabs>
                <w:tab w:val="left" w:pos="384"/>
              </w:tabs>
              <w:spacing w:before="20" w:after="80"/>
              <w:rPr>
                <w:noProof/>
              </w:rPr>
            </w:pPr>
            <w:r w:rsidRPr="00472619">
              <w:rPr>
                <w:b/>
                <w:noProof/>
              </w:rPr>
              <w:t>RAN2#10</w:t>
            </w:r>
            <w:r>
              <w:rPr>
                <w:b/>
                <w:noProof/>
              </w:rPr>
              <w:t>7</w:t>
            </w:r>
            <w:r w:rsidRPr="00472619">
              <w:rPr>
                <w:b/>
                <w:noProof/>
              </w:rPr>
              <w:t xml:space="preserve"> agreements</w:t>
            </w:r>
            <w:r>
              <w:rPr>
                <w:noProof/>
              </w:rPr>
              <w:t>:</w:t>
            </w:r>
          </w:p>
          <w:p w14:paraId="5DA15E09" w14:textId="2B706C78" w:rsidR="004300CB" w:rsidRDefault="004300CB" w:rsidP="004300CB">
            <w:pPr>
              <w:pStyle w:val="CRCoverPage"/>
              <w:numPr>
                <w:ilvl w:val="0"/>
                <w:numId w:val="7"/>
              </w:numPr>
              <w:tabs>
                <w:tab w:val="left" w:pos="384"/>
              </w:tabs>
              <w:spacing w:before="20" w:after="8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2A17655" w14:textId="33243838" w:rsidR="004300CB" w:rsidRDefault="004300CB" w:rsidP="004300CB">
            <w:pPr>
              <w:pStyle w:val="CRCoverPage"/>
              <w:numPr>
                <w:ilvl w:val="0"/>
                <w:numId w:val="7"/>
              </w:numPr>
              <w:tabs>
                <w:tab w:val="left" w:pos="384"/>
              </w:tabs>
              <w:spacing w:before="20" w:after="80"/>
              <w:rPr>
                <w:noProof/>
              </w:rPr>
            </w:pPr>
            <w:r>
              <w:rPr>
                <w:noProof/>
              </w:rPr>
              <w:t>In NR and LTE Rel-16, the UE maintains the MCG SCell configuration upon the initiation of the resume procedure.</w:t>
            </w:r>
          </w:p>
          <w:p w14:paraId="57456668" w14:textId="44F58430" w:rsidR="004300CB" w:rsidRDefault="004300CB" w:rsidP="004300CB">
            <w:pPr>
              <w:pStyle w:val="CRCoverPage"/>
              <w:numPr>
                <w:ilvl w:val="0"/>
                <w:numId w:val="7"/>
              </w:numPr>
              <w:tabs>
                <w:tab w:val="left" w:pos="384"/>
              </w:tabs>
              <w:spacing w:before="20" w:after="80"/>
              <w:rPr>
                <w:noProof/>
              </w:rPr>
            </w:pPr>
            <w:r>
              <w:rPr>
                <w:noProof/>
              </w:rPr>
              <w:t>The RRC(Connection)Resume message contains an indication to restore/resume the MCG SCells (noting that behaviour in legacy eNBs that don't support this feature needs to be considered).</w:t>
            </w:r>
          </w:p>
          <w:p w14:paraId="2C0442EC" w14:textId="0D7B2B03" w:rsidR="004300CB" w:rsidRDefault="004300CB" w:rsidP="004300CB">
            <w:pPr>
              <w:pStyle w:val="CRCoverPage"/>
              <w:tabs>
                <w:tab w:val="left" w:pos="384"/>
              </w:tabs>
              <w:spacing w:before="20" w:after="80"/>
              <w:rPr>
                <w:noProof/>
              </w:rPr>
            </w:pPr>
            <w:r w:rsidRPr="00472619">
              <w:rPr>
                <w:b/>
                <w:noProof/>
              </w:rPr>
              <w:t>RAN2#10</w:t>
            </w:r>
            <w:r>
              <w:rPr>
                <w:b/>
                <w:noProof/>
              </w:rPr>
              <w:t>7bis</w:t>
            </w:r>
            <w:r w:rsidRPr="00472619">
              <w:rPr>
                <w:b/>
                <w:noProof/>
              </w:rPr>
              <w:t xml:space="preserve"> agreements</w:t>
            </w:r>
            <w:r>
              <w:rPr>
                <w:noProof/>
              </w:rPr>
              <w:t>:</w:t>
            </w:r>
          </w:p>
          <w:p w14:paraId="21A758BE" w14:textId="2C5BA2B7" w:rsidR="004300CB" w:rsidRPr="004300CB" w:rsidRDefault="004300CB" w:rsidP="00BF6408">
            <w:pPr>
              <w:pStyle w:val="ListParagraph"/>
              <w:numPr>
                <w:ilvl w:val="0"/>
                <w:numId w:val="7"/>
              </w:numPr>
              <w:tabs>
                <w:tab w:val="left" w:pos="384"/>
              </w:tabs>
              <w:spacing w:before="20" w:after="80"/>
              <w:rPr>
                <w:noProof/>
              </w:rPr>
            </w:pPr>
            <w:r w:rsidRPr="004300CB">
              <w:rPr>
                <w:rFonts w:ascii="Arial" w:eastAsia="SimSun" w:hAnsi="Arial"/>
                <w:noProof/>
              </w:rPr>
              <w:t>Direct SCell activation (setting the SCell state to activated or deactivated) in resume message is supported</w:t>
            </w:r>
            <w:r>
              <w:rPr>
                <w:rFonts w:ascii="Arial" w:eastAsia="SimSun" w:hAnsi="Arial"/>
                <w:noProof/>
              </w:rPr>
              <w:t>.</w:t>
            </w:r>
          </w:p>
          <w:p w14:paraId="5E750978" w14:textId="08EDB0E1" w:rsidR="004300CB" w:rsidRPr="004300CB" w:rsidRDefault="004300CB" w:rsidP="004300CB">
            <w:pPr>
              <w:pStyle w:val="CRCoverPage"/>
              <w:tabs>
                <w:tab w:val="left" w:pos="384"/>
              </w:tabs>
              <w:spacing w:before="20" w:after="80"/>
              <w:rPr>
                <w:noProof/>
                <w:lang w:val="en-US"/>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7DB89F95" w14:textId="0EBE2FBA" w:rsidR="001A77E9" w:rsidRDefault="0082292B" w:rsidP="00A63356">
            <w:pPr>
              <w:pStyle w:val="CRCoverPage"/>
              <w:spacing w:after="0"/>
              <w:ind w:left="100"/>
              <w:rPr>
                <w:noProof/>
              </w:rPr>
            </w:pPr>
            <w:r>
              <w:rPr>
                <w:noProof/>
              </w:rPr>
              <w:t>Agreements captured in stage 2.</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5E6F8A" w14:textId="7E66964D" w:rsidR="00EF4ABA" w:rsidRDefault="00EF4ABA">
            <w:pPr>
              <w:pStyle w:val="CRCoverPage"/>
              <w:spacing w:after="0"/>
              <w:ind w:left="100"/>
              <w:rPr>
                <w:noProof/>
              </w:rPr>
            </w:pPr>
            <w:r>
              <w:rPr>
                <w:noProof/>
              </w:rPr>
              <w:t>7.5     Carrier Aggregation</w:t>
            </w:r>
          </w:p>
          <w:p w14:paraId="3E77A246" w14:textId="285BE49F" w:rsidR="001A77E9" w:rsidRDefault="0082292B">
            <w:pPr>
              <w:pStyle w:val="CRCoverPage"/>
              <w:spacing w:after="0"/>
              <w:ind w:left="100"/>
              <w:rPr>
                <w:noProof/>
              </w:rPr>
            </w:pPr>
            <w:r>
              <w:rPr>
                <w:noProof/>
              </w:rPr>
              <w:t>10.1.3.2 Inter-frequency neighbor (cell) measurements</w:t>
            </w:r>
          </w:p>
          <w:p w14:paraId="0AAEB4CD" w14:textId="1EF1C846" w:rsidR="0082292B" w:rsidRDefault="0082292B">
            <w:pPr>
              <w:pStyle w:val="CRCoverPage"/>
              <w:spacing w:after="0"/>
              <w:ind w:left="100"/>
              <w:rPr>
                <w:noProof/>
              </w:rPr>
            </w:pPr>
            <w:r>
              <w:rPr>
                <w:noProof/>
              </w:rPr>
              <w:t xml:space="preserve">10.2.3.x </w:t>
            </w:r>
            <w:r w:rsidRPr="0082292B">
              <w:rPr>
                <w:noProof/>
              </w:rPr>
              <w:t>Inter-RAT IDLE mode measurements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13F7A015" w:rsidR="001A77E9" w:rsidRDefault="004300CB">
            <w:pPr>
              <w:pStyle w:val="CRCoverPage"/>
              <w:spacing w:after="0"/>
              <w:ind w:left="100"/>
              <w:rPr>
                <w:noProof/>
              </w:rPr>
            </w:pPr>
            <w:r>
              <w:rPr>
                <w:noProof/>
              </w:rPr>
              <w:t>The changes in section 7.5 are from agreements in RAN2 #107, which were not captured in the endorsed CR after RAN2#107.</w:t>
            </w: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7DAC3DCE" w14:textId="77777777" w:rsidR="004300CB" w:rsidRPr="00B74D1F" w:rsidRDefault="004300CB" w:rsidP="004300CB">
      <w:pPr>
        <w:pStyle w:val="Heading1"/>
      </w:pPr>
      <w:bookmarkStart w:id="8" w:name="_Toc20402765"/>
      <w:bookmarkStart w:id="9" w:name="_Toc20402779"/>
      <w:bookmarkStart w:id="10" w:name="_Toc20402793"/>
      <w:bookmarkStart w:id="11" w:name="_Toc20402833"/>
      <w:bookmarkStart w:id="12" w:name="_Toc5987268"/>
      <w:bookmarkEnd w:id="4"/>
      <w:bookmarkEnd w:id="5"/>
      <w:bookmarkEnd w:id="6"/>
      <w:r w:rsidRPr="00B74D1F">
        <w:t>7</w:t>
      </w:r>
      <w:r w:rsidRPr="00B74D1F">
        <w:tab/>
        <w:t>RRC</w:t>
      </w:r>
      <w:bookmarkEnd w:id="8"/>
    </w:p>
    <w:p w14:paraId="6591B7D7" w14:textId="77777777" w:rsidR="00A103AE" w:rsidRDefault="00A103AE" w:rsidP="00A103AE">
      <w:pPr>
        <w:pStyle w:val="Heading2"/>
      </w:pPr>
      <w:r>
        <w:t>7.5</w:t>
      </w:r>
      <w:r>
        <w:tab/>
        <w:t>Carrier Aggregation</w:t>
      </w:r>
      <w:bookmarkEnd w:id="9"/>
    </w:p>
    <w:p w14:paraId="22469A5C" w14:textId="77777777" w:rsidR="00A103AE" w:rsidRDefault="00A103AE" w:rsidP="00A103AE">
      <w:r>
        <w:t xml:space="preserve">When CA is configured, the UE only has one RRC connection with the network. At RRC connection establishment/re-establishment/handover, one serving cell provides the NAS mobility information (e.g. TAI),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In the downlink, the carrier corresponding to the PCell is the Downlink Primary Component Carrier (DL PCC) while in the uplink it is the Uplink Primary Component Carrier (UL PCC).</w:t>
      </w:r>
    </w:p>
    <w:p w14:paraId="099C7A71" w14:textId="77777777" w:rsidR="00A103AE" w:rsidRDefault="00A103AE" w:rsidP="00A103AE">
      <w:r>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5311EB4F" w14:textId="77777777" w:rsidR="00A103AE" w:rsidRDefault="00A103AE" w:rsidP="00A103AE">
      <w:r>
        <w:t>The configured set of serving cells for a UE therefore always consists of one PCell and one or more SCells:</w:t>
      </w:r>
    </w:p>
    <w:p w14:paraId="717D209F" w14:textId="77777777" w:rsidR="00A103AE" w:rsidRDefault="00A103AE" w:rsidP="00A103AE">
      <w:pPr>
        <w:pStyle w:val="B1"/>
      </w:pPr>
      <w:r>
        <w:t>-</w:t>
      </w:r>
      <w:r>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68595551" w14:textId="77777777" w:rsidR="00A103AE" w:rsidRDefault="00A103AE" w:rsidP="00A103AE">
      <w:pPr>
        <w:pStyle w:val="B1"/>
      </w:pPr>
      <w:r>
        <w:t>-</w:t>
      </w:r>
      <w:r>
        <w:tab/>
        <w:t>An SCell may be configured to start in either deactivated, dormant or activated mode;</w:t>
      </w:r>
    </w:p>
    <w:p w14:paraId="462AF172" w14:textId="77777777" w:rsidR="00A103AE" w:rsidRDefault="00A103AE" w:rsidP="00A103AE">
      <w:pPr>
        <w:pStyle w:val="B1"/>
      </w:pPr>
      <w:r>
        <w:t>-</w:t>
      </w:r>
      <w:r>
        <w:tab/>
        <w:t>From a UE viewpoint, each uplink resource only belongs to one serving cell;</w:t>
      </w:r>
    </w:p>
    <w:p w14:paraId="787D8744" w14:textId="77777777" w:rsidR="00A103AE" w:rsidRDefault="00A103AE" w:rsidP="00A103AE">
      <w:pPr>
        <w:pStyle w:val="B1"/>
      </w:pPr>
      <w:r>
        <w:t>-</w:t>
      </w:r>
      <w:r>
        <w:tab/>
        <w:t>The number of serving cells that can be configured depends on the aggregation capability of the UE (see clause 5.5);</w:t>
      </w:r>
    </w:p>
    <w:p w14:paraId="02BB2847" w14:textId="77777777" w:rsidR="00A103AE" w:rsidRDefault="00A103AE" w:rsidP="00A103AE">
      <w:pPr>
        <w:pStyle w:val="B1"/>
      </w:pPr>
      <w:r>
        <w:t>-</w:t>
      </w:r>
      <w:r>
        <w:tab/>
        <w:t>PCell can only be changed with handover procedure (i.e. with security key change and, unless RACH-less HO is configured, with RACH procedure);</w:t>
      </w:r>
    </w:p>
    <w:p w14:paraId="6104E6E9" w14:textId="77777777" w:rsidR="00A103AE" w:rsidRDefault="00A103AE" w:rsidP="00A103AE">
      <w:pPr>
        <w:pStyle w:val="B1"/>
      </w:pPr>
      <w:r>
        <w:t>-</w:t>
      </w:r>
      <w:r>
        <w:tab/>
        <w:t>PCell is used for transmission of PUCCH;</w:t>
      </w:r>
    </w:p>
    <w:p w14:paraId="141B5E8D" w14:textId="77777777" w:rsidR="00A103AE" w:rsidRDefault="00A103AE" w:rsidP="00A103AE">
      <w:pPr>
        <w:pStyle w:val="B1"/>
      </w:pPr>
      <w:r>
        <w:t>-</w:t>
      </w:r>
      <w:r>
        <w:tab/>
        <w:t>If DC is not configured one additional PUCCH can be configured on an SCell, the PUCCH SCell;</w:t>
      </w:r>
    </w:p>
    <w:p w14:paraId="790712E6" w14:textId="77777777" w:rsidR="00A103AE" w:rsidRDefault="00A103AE" w:rsidP="00A103AE">
      <w:pPr>
        <w:pStyle w:val="B1"/>
      </w:pPr>
      <w:r>
        <w:t>-</w:t>
      </w:r>
      <w:r>
        <w:tab/>
        <w:t>Unlike SCells, PCell cannot be de-activated or be in dormant SCell state (see clause 11.2);</w:t>
      </w:r>
    </w:p>
    <w:p w14:paraId="1F6CECEE" w14:textId="77777777" w:rsidR="00A103AE" w:rsidRDefault="00A103AE" w:rsidP="00A103AE">
      <w:pPr>
        <w:pStyle w:val="B1"/>
      </w:pPr>
      <w:r>
        <w:t>-</w:t>
      </w:r>
      <w:r>
        <w:tab/>
        <w:t>Re-establishment is triggered when PCell experiences RLF, not when SCells experience RLF;</w:t>
      </w:r>
    </w:p>
    <w:p w14:paraId="30CA252D" w14:textId="77777777" w:rsidR="00A103AE" w:rsidRDefault="00A103AE" w:rsidP="00A103AE">
      <w:pPr>
        <w:pStyle w:val="B1"/>
      </w:pPr>
      <w:r>
        <w:t>-</w:t>
      </w:r>
      <w:r>
        <w:tab/>
        <w:t>NAS information is taken from PCell.</w:t>
      </w:r>
    </w:p>
    <w:p w14:paraId="56010A76" w14:textId="703647D3" w:rsidR="00A103AE" w:rsidRDefault="00A103AE" w:rsidP="00A103AE">
      <w:r>
        <w:t>The reconfiguration, addition and removal of SCells can be performed by</w:t>
      </w:r>
      <w:r>
        <w:rPr>
          <w:i/>
        </w:rPr>
        <w:t xml:space="preserve"> </w:t>
      </w:r>
      <w:r>
        <w:t xml:space="preserve">RRC. </w:t>
      </w:r>
      <w:ins w:id="13" w:author="RAN2#107" w:date="2019-10-22T10:52:00Z">
        <w:r w:rsidR="004300CB">
          <w:t>During</w:t>
        </w:r>
      </w:ins>
      <w:ins w:id="14" w:author="RAN2#107" w:date="2019-10-22T10:09:00Z">
        <w:r>
          <w:t xml:space="preserve"> connection resum</w:t>
        </w:r>
      </w:ins>
      <w:ins w:id="15" w:author="RAN2#107" w:date="2019-10-22T10:52:00Z">
        <w:r w:rsidR="004300CB">
          <w:t>e</w:t>
        </w:r>
      </w:ins>
      <w:ins w:id="16" w:author="RAN2#107" w:date="2019-10-22T10:17:00Z">
        <w:r w:rsidR="00C8571E">
          <w:t xml:space="preserve"> </w:t>
        </w:r>
      </w:ins>
      <w:ins w:id="17" w:author="RAN2#107" w:date="2019-10-22T10:52:00Z">
        <w:r w:rsidR="004300CB">
          <w:t>from</w:t>
        </w:r>
      </w:ins>
      <w:ins w:id="18" w:author="RAN2#107" w:date="2019-10-22T10:53:00Z">
        <w:r w:rsidR="004300CB">
          <w:t xml:space="preserve"> </w:t>
        </w:r>
      </w:ins>
      <w:ins w:id="19" w:author="RAN2#107" w:date="2019-10-22T10:19:00Z">
        <w:r w:rsidR="00C8571E">
          <w:t xml:space="preserve">suspended RRC connection or from </w:t>
        </w:r>
      </w:ins>
      <w:ins w:id="20" w:author="RAN2#107" w:date="2019-10-22T10:17:00Z">
        <w:r w:rsidR="00C8571E">
          <w:t>RRC_INACTIVE</w:t>
        </w:r>
      </w:ins>
      <w:ins w:id="21" w:author="RAN2#107" w:date="2019-10-22T10:09:00Z">
        <w:r>
          <w:t xml:space="preserve">, RRC can </w:t>
        </w:r>
      </w:ins>
      <w:ins w:id="22" w:author="RAN2#107" w:date="2019-10-23T13:54:00Z">
        <w:r w:rsidR="002D2095">
          <w:t>keep</w:t>
        </w:r>
      </w:ins>
      <w:ins w:id="23" w:author="RAN2#107" w:date="2019-10-22T10:09:00Z">
        <w:r>
          <w:t xml:space="preserve"> </w:t>
        </w:r>
      </w:ins>
      <w:ins w:id="24" w:author="RAN2#107" w:date="2019-10-22T10:17:00Z">
        <w:r w:rsidR="00C8571E">
          <w:t xml:space="preserve">or release </w:t>
        </w:r>
      </w:ins>
      <w:ins w:id="25" w:author="RAN2#107" w:date="2019-10-22T10:09:00Z">
        <w:r>
          <w:t xml:space="preserve">the previously configured SCells from the UE context, if any. </w:t>
        </w:r>
      </w:ins>
      <w:r>
        <w:t>At intra-LTE handover</w:t>
      </w:r>
      <w:ins w:id="26" w:author="RAN2#107" w:date="2019-10-22T10:16:00Z">
        <w:r>
          <w:t xml:space="preserve"> </w:t>
        </w:r>
      </w:ins>
      <w:ins w:id="27" w:author="RAN2#107" w:date="2019-10-23T13:59:00Z">
        <w:r w:rsidR="005565D0">
          <w:t xml:space="preserve">and </w:t>
        </w:r>
      </w:ins>
      <w:ins w:id="28" w:author="RAN2#107" w:date="2019-10-22T10:16:00Z">
        <w:r>
          <w:t>during connection resum</w:t>
        </w:r>
      </w:ins>
      <w:ins w:id="29" w:author="RAN2#107" w:date="2019-10-22T10:53:00Z">
        <w:r w:rsidR="004300CB">
          <w:t>e</w:t>
        </w:r>
      </w:ins>
      <w:ins w:id="30" w:author="RAN2#107" w:date="2019-10-22T10:16:00Z">
        <w:r>
          <w:t xml:space="preserve"> from RRC_INACTIVE</w:t>
        </w:r>
      </w:ins>
      <w:r>
        <w:t>, RRC 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00FB25EA" w14:textId="77777777" w:rsidR="00A103AE" w:rsidRDefault="00A103AE" w:rsidP="00A103AE">
      <w:r>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3DEA3BB4" w14:textId="77777777" w:rsidR="00A103AE" w:rsidRDefault="00A103AE" w:rsidP="00A103AE">
      <w:r>
        <w:rPr>
          <w:lang w:eastAsia="zh-CN"/>
        </w:rPr>
        <w:t>F</w:t>
      </w:r>
      <w:r>
        <w:t xml:space="preserve">or </w:t>
      </w:r>
      <w:r>
        <w:rPr>
          <w:lang w:eastAsia="zh-CN"/>
        </w:rPr>
        <w:t>LAA SCell</w:t>
      </w:r>
      <w:r>
        <w:t xml:space="preserve"> the following</w:t>
      </w:r>
      <w:r>
        <w:rPr>
          <w:lang w:eastAsia="zh-CN"/>
        </w:rPr>
        <w:t xml:space="preserve"> additional </w:t>
      </w:r>
      <w:r>
        <w:t>principles are applied:</w:t>
      </w:r>
    </w:p>
    <w:p w14:paraId="5E013CFC" w14:textId="77777777" w:rsidR="00A103AE" w:rsidRDefault="00A103AE" w:rsidP="00A103AE">
      <w:pPr>
        <w:pStyle w:val="B1"/>
        <w:rPr>
          <w:lang w:eastAsia="zh-CN"/>
        </w:rPr>
      </w:pPr>
      <w:r>
        <w:t>-</w:t>
      </w:r>
      <w:r>
        <w:tab/>
      </w:r>
      <w:r>
        <w:rPr>
          <w:lang w:eastAsia="zh-CN"/>
        </w:rPr>
        <w:t>The eNB can configure whether the data of a logical channel can be transferred via LAA SCells.</w:t>
      </w:r>
    </w:p>
    <w:p w14:paraId="57474163" w14:textId="77777777" w:rsidR="00A103AE" w:rsidRDefault="00A103AE" w:rsidP="00A103AE">
      <w:pPr>
        <w:rPr>
          <w:rFonts w:eastAsia="SimSun"/>
          <w:lang w:val="en-US" w:eastAsia="zh-CN"/>
        </w:rPr>
      </w:pPr>
    </w:p>
    <w:p w14:paraId="4E3AB2E5" w14:textId="3689F22A" w:rsidR="00A103AE" w:rsidRDefault="00A103AE" w:rsidP="00A103AE">
      <w:pPr>
        <w:pStyle w:val="Note-Boxed"/>
        <w:jc w:val="center"/>
        <w:rPr>
          <w:rFonts w:ascii="Times New Roman" w:hAnsi="Times New Roman" w:cs="Times New Roman"/>
          <w:lang w:val="en-GB"/>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000F992" w14:textId="77777777" w:rsidR="00A103AE" w:rsidRPr="00A103AE" w:rsidRDefault="00A103AE" w:rsidP="00A103AE">
      <w:pPr>
        <w:rPr>
          <w:lang w:eastAsia="ko-KR"/>
        </w:rPr>
      </w:pPr>
    </w:p>
    <w:p w14:paraId="3CEDECDC" w14:textId="77777777" w:rsidR="00A103AE" w:rsidRDefault="00A103AE" w:rsidP="00A103A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C3F6231" w14:textId="62C6F3D2" w:rsidR="00CD1DFF" w:rsidRDefault="00CD1DFF" w:rsidP="00CD1DFF">
      <w:pPr>
        <w:pStyle w:val="Heading2"/>
      </w:pPr>
      <w:r>
        <w:t>10.1</w:t>
      </w:r>
      <w:r>
        <w:tab/>
        <w:t>Intra E-UTRAN</w:t>
      </w:r>
      <w:bookmarkEnd w:id="10"/>
    </w:p>
    <w:p w14:paraId="7283927B" w14:textId="068A09C3" w:rsidR="001E1A57" w:rsidRDefault="001E1A57" w:rsidP="001E1A57">
      <w:pPr>
        <w:pStyle w:val="Heading3"/>
      </w:pPr>
      <w:r>
        <w:t>10.1.3</w:t>
      </w:r>
      <w:r>
        <w:tab/>
        <w:t>Measurements</w:t>
      </w:r>
      <w:bookmarkEnd w:id="11"/>
    </w:p>
    <w:p w14:paraId="2060C21B" w14:textId="3DFC779E" w:rsidR="00910EC2" w:rsidRPr="00B60A7F" w:rsidRDefault="00910EC2" w:rsidP="00910EC2">
      <w:pPr>
        <w:pStyle w:val="Heading4"/>
      </w:pPr>
      <w:r w:rsidRPr="00B60A7F">
        <w:t>10.1.3.2</w:t>
      </w:r>
      <w:r w:rsidRPr="00B60A7F">
        <w:tab/>
        <w:t>Inter-frequency neighbour (cell) measurements</w:t>
      </w:r>
      <w:bookmarkEnd w:id="12"/>
    </w:p>
    <w:p w14:paraId="3B033756" w14:textId="77777777" w:rsidR="00910EC2" w:rsidRPr="00B60A7F" w:rsidRDefault="00910EC2" w:rsidP="00910EC2">
      <w:r w:rsidRPr="00B60A7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F19A1E6" w14:textId="4A2216F8" w:rsidR="00910EC2" w:rsidRDefault="00910EC2" w:rsidP="00910EC2">
      <w:r w:rsidRPr="00B60A7F">
        <w:t>Network may request UE to measure inter-frequency carriers in RRC_IDLE 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r>
        <w:t>.</w:t>
      </w:r>
      <w:ins w:id="31" w:author="RAN2#105bis" w:date="2019-05-09T14:08:00Z">
        <w:r w:rsidR="0096065F">
          <w:t xml:space="preserve"> </w:t>
        </w:r>
      </w:ins>
      <w:ins w:id="32" w:author="RAN2#107" w:date="2019-09-10T14:08:00Z">
        <w:r w:rsidR="00793CAB">
          <w:t>T</w:t>
        </w:r>
      </w:ins>
      <w:ins w:id="33" w:author="RAN2#105bis" w:date="2019-05-09T14:09:00Z">
        <w:r w:rsidR="001A5A37">
          <w:t xml:space="preserve">he </w:t>
        </w:r>
        <w:r w:rsidR="008C47E5">
          <w:t>request for the measurem</w:t>
        </w:r>
      </w:ins>
      <w:ins w:id="34" w:author="RAN2#105bis" w:date="2019-05-09T14:12:00Z">
        <w:r w:rsidR="00933BE6">
          <w:t>e</w:t>
        </w:r>
      </w:ins>
      <w:ins w:id="35" w:author="RAN2#105bis" w:date="2019-05-09T14:09:00Z">
        <w:r w:rsidR="008C47E5">
          <w:t xml:space="preserve">nts can be sent by the network </w:t>
        </w:r>
        <w:r w:rsidR="00EA2BB5">
          <w:t>immediately</w:t>
        </w:r>
      </w:ins>
      <w:ins w:id="36" w:author="RAN2#105bis" w:date="2019-05-09T14:10:00Z">
        <w:r w:rsidR="00EA2BB5">
          <w:t xml:space="preserve"> after the Security Mode Command</w:t>
        </w:r>
        <w:r w:rsidR="001800CB">
          <w:t xml:space="preserve"> (i.e. before the reception of the Security Mode Complete</w:t>
        </w:r>
      </w:ins>
      <w:ins w:id="37" w:author="RAN2#105bis" w:date="2019-05-09T14:11:00Z">
        <w:r w:rsidR="00B92F56">
          <w:t xml:space="preserve"> from the UE</w:t>
        </w:r>
      </w:ins>
      <w:ins w:id="38" w:author="RAN2#105bis" w:date="2019-05-10T08:41:00Z">
        <w:r w:rsidR="00CC2853">
          <w:t>)</w:t>
        </w:r>
      </w:ins>
      <w:ins w:id="39" w:author="RAN2#105bis" w:date="2019-05-09T14:11:00Z">
        <w:r w:rsidR="00B92F56">
          <w:t>.</w:t>
        </w:r>
      </w:ins>
    </w:p>
    <w:p w14:paraId="0B5BEC8A" w14:textId="77777777" w:rsidR="00910EC2" w:rsidRDefault="00910EC2" w:rsidP="00910EC2">
      <w:pPr>
        <w:rPr>
          <w:iC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B453C81" w14:textId="77777777" w:rsidR="004300CB" w:rsidRPr="00B74D1F" w:rsidRDefault="004300CB" w:rsidP="004300CB">
      <w:pPr>
        <w:pStyle w:val="Heading1"/>
      </w:pPr>
      <w:bookmarkStart w:id="40" w:name="_Toc20402791"/>
      <w:bookmarkStart w:id="41" w:name="_Toc20402855"/>
      <w:r w:rsidRPr="00B74D1F">
        <w:t>10</w:t>
      </w:r>
      <w:r w:rsidRPr="00B74D1F">
        <w:tab/>
        <w:t>Mobility</w:t>
      </w:r>
      <w:bookmarkEnd w:id="40"/>
    </w:p>
    <w:p w14:paraId="33B13492" w14:textId="1A2A8448" w:rsidR="00F339FD" w:rsidRDefault="00F339FD" w:rsidP="00F339FD">
      <w:pPr>
        <w:pStyle w:val="Heading2"/>
      </w:pPr>
      <w:r>
        <w:t>10.2</w:t>
      </w:r>
      <w:r>
        <w:tab/>
        <w:t>Inter RAT</w:t>
      </w:r>
      <w:bookmarkEnd w:id="41"/>
    </w:p>
    <w:p w14:paraId="3EB1A6CA" w14:textId="77777777" w:rsidR="001A78D0" w:rsidRDefault="001A78D0" w:rsidP="001A78D0">
      <w:pPr>
        <w:pStyle w:val="Heading3"/>
      </w:pPr>
      <w:bookmarkStart w:id="42" w:name="_Toc20402865"/>
      <w:r>
        <w:t>10.2.3</w:t>
      </w:r>
      <w:r>
        <w:tab/>
        <w:t>Measurements</w:t>
      </w:r>
      <w:bookmarkEnd w:id="42"/>
    </w:p>
    <w:p w14:paraId="425D8099" w14:textId="5734A87A" w:rsidR="00C841C4" w:rsidRPr="00B60A7F" w:rsidRDefault="00C841C4" w:rsidP="00C841C4">
      <w:pPr>
        <w:pStyle w:val="Heading4"/>
        <w:rPr>
          <w:ins w:id="43" w:author="RAN2#105bis" w:date="2019-05-09T13:34:00Z"/>
        </w:rPr>
      </w:pPr>
      <w:ins w:id="44" w:author="RAN2#105bis" w:date="2019-05-09T13:34:00Z">
        <w:r w:rsidRPr="00B60A7F">
          <w:t>10.2.3.</w:t>
        </w:r>
        <w:r w:rsidRPr="00C841C4">
          <w:rPr>
            <w:lang w:val="en-US"/>
          </w:rPr>
          <w:t>x</w:t>
        </w:r>
        <w:r w:rsidRPr="00B60A7F">
          <w:tab/>
          <w:t xml:space="preserve">Inter-RAT </w:t>
        </w:r>
      </w:ins>
      <w:ins w:id="45" w:author="RAN2#107" w:date="2019-09-10T14:12:00Z">
        <w:r w:rsidR="00985BFA">
          <w:rPr>
            <w:color w:val="1F497D"/>
            <w:lang w:val="en-GB" w:eastAsia="zh-CN"/>
          </w:rPr>
          <w:t>measurements in RRC_IDLE or RRC_INACTIVE</w:t>
        </w:r>
      </w:ins>
    </w:p>
    <w:p w14:paraId="37624D05" w14:textId="5F93DA1C" w:rsidR="00933BE6" w:rsidRDefault="00C841C4" w:rsidP="00933BE6">
      <w:pPr>
        <w:rPr>
          <w:ins w:id="46" w:author="RAN2#105bis" w:date="2019-05-09T14:11:00Z"/>
        </w:rPr>
      </w:pPr>
      <w:ins w:id="47" w:author="RAN2#105bis" w:date="2019-05-09T13:34:00Z">
        <w:r>
          <w:rPr>
            <w:lang w:val="en-US"/>
          </w:rPr>
          <w:t xml:space="preserve">Network may request UE to measure </w:t>
        </w:r>
        <w:r w:rsidR="00212AA3">
          <w:rPr>
            <w:lang w:val="en-US"/>
          </w:rPr>
          <w:t xml:space="preserve">NR carriers </w:t>
        </w:r>
        <w:r>
          <w:rPr>
            <w:lang w:val="en-US"/>
          </w:rPr>
          <w:t xml:space="preserve">in RRC_IDLE </w:t>
        </w:r>
      </w:ins>
      <w:ins w:id="48" w:author="RAN2#105bis" w:date="2019-05-09T13:35:00Z">
        <w:r w:rsidR="0056222C">
          <w:rPr>
            <w:lang w:val="en-US"/>
          </w:rPr>
          <w:t xml:space="preserve">or RRC_INACTIVE </w:t>
        </w:r>
      </w:ins>
      <w:ins w:id="49" w:author="RAN2#105bis" w:date="2019-05-09T13:34:00Z">
        <w:r>
          <w:rPr>
            <w:lang w:val="en-US"/>
          </w:rPr>
          <w:t>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ins>
      <w:ins w:id="50" w:author="RAN2#105bis" w:date="2019-05-09T14:11:00Z">
        <w:r w:rsidR="00933BE6">
          <w:rPr>
            <w:lang w:val="en-US"/>
          </w:rPr>
          <w:t xml:space="preserve"> </w:t>
        </w:r>
      </w:ins>
      <w:ins w:id="51" w:author="RAN2#107" w:date="2019-09-10T14:10:00Z">
        <w:r w:rsidR="00985BFA">
          <w:t>T</w:t>
        </w:r>
      </w:ins>
      <w:ins w:id="52" w:author="RAN2#105bis" w:date="2019-05-09T14:11:00Z">
        <w:r w:rsidR="00933BE6">
          <w:t>he request for the measurem</w:t>
        </w:r>
      </w:ins>
      <w:ins w:id="53" w:author="RAN2#105bis" w:date="2019-05-09T14:12:00Z">
        <w:r w:rsidR="00933BE6">
          <w:t>e</w:t>
        </w:r>
      </w:ins>
      <w:ins w:id="54" w:author="RAN2#105bis" w:date="2019-05-09T14:11:00Z">
        <w:r w:rsidR="00933BE6">
          <w:t>nts can be sent by the network immediately after the Security Mode Command (i.e. before the reception of the Security Mode Complete from the UE</w:t>
        </w:r>
      </w:ins>
      <w:ins w:id="55" w:author="RAN2#105bis" w:date="2019-05-09T14:12:00Z">
        <w:r w:rsidR="00284F90">
          <w:t>)</w:t>
        </w:r>
      </w:ins>
      <w:ins w:id="56" w:author="RAN2#105bis" w:date="2019-05-09T14:11:00Z">
        <w:r w:rsidR="00933BE6">
          <w:t>.</w:t>
        </w:r>
      </w:ins>
    </w:p>
    <w:bookmarkEnd w:id="7"/>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25247DF" w:rsidR="00815185" w:rsidRDefault="00815185" w:rsidP="00815185">
      <w:pPr>
        <w:rPr>
          <w:noProof/>
        </w:rPr>
      </w:pPr>
    </w:p>
    <w:p w14:paraId="699C02A9" w14:textId="56D2B72C" w:rsidR="007B47BD" w:rsidRDefault="007B47BD" w:rsidP="00815185">
      <w:pPr>
        <w:rPr>
          <w:noProof/>
        </w:rPr>
      </w:pPr>
    </w:p>
    <w:p w14:paraId="68E09D90" w14:textId="4FCA1574"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5ED7A8E5" w14:textId="77777777" w:rsidR="004300CB" w:rsidRPr="00B74D1F" w:rsidRDefault="004300CB" w:rsidP="004300CB">
      <w:pPr>
        <w:pStyle w:val="Heading1"/>
      </w:pPr>
      <w:bookmarkStart w:id="57" w:name="_Toc20402919"/>
      <w:bookmarkStart w:id="58" w:name="_Toc20402924"/>
      <w:r w:rsidRPr="00B74D1F">
        <w:lastRenderedPageBreak/>
        <w:t>11</w:t>
      </w:r>
      <w:r w:rsidRPr="00B74D1F">
        <w:tab/>
        <w:t>Scheduling and Rate Control</w:t>
      </w:r>
      <w:bookmarkEnd w:id="57"/>
    </w:p>
    <w:p w14:paraId="1E57CB8E" w14:textId="77777777" w:rsidR="007B47BD" w:rsidRDefault="007B47BD" w:rsidP="007B47BD">
      <w:pPr>
        <w:pStyle w:val="Heading2"/>
      </w:pPr>
      <w:r>
        <w:t>11.2</w:t>
      </w:r>
      <w:r>
        <w:tab/>
        <w:t>Activation/Deactivation Mechanism</w:t>
      </w:r>
      <w:bookmarkEnd w:id="58"/>
    </w:p>
    <w:p w14:paraId="2928D2A4" w14:textId="77777777" w:rsidR="007B47BD" w:rsidRDefault="007B47BD" w:rsidP="007B47BD">
      <w:r>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w:t>
      </w:r>
      <w:proofErr w:type="gramStart"/>
      <w:r>
        <w:t>), and</w:t>
      </w:r>
      <w:proofErr w:type="gramEnd"/>
      <w:r>
        <w:t xml:space="preserve"> is expected to be able to perform CQI measurements. To enable faster CQI reporting, a temporary CQI reporting period (called short CQI period) can be supported during SCell activation period. E-UTRAN ensures that while PUCCH SCell is deactivated, SCells of secondary PUCCH group should not be activated or dormant. E-UTRAN ensures that SCells mapped to PUCCH SCell are deactivated before the PUCCH SCell is changed or removed.</w:t>
      </w:r>
    </w:p>
    <w:p w14:paraId="1E259F11" w14:textId="77777777" w:rsidR="007B47BD" w:rsidRDefault="007B47BD" w:rsidP="007B47BD">
      <w:r>
        <w:t>To enable faster transition to activated state, a dormant state for SCells (i.e. not PCell or PSCell) is supported. When an SCell is in dormant state, the UE does not need to receive the corresponding PDCCH or PDSCH, cannot transmit in the corresponding uplink, but is required to perform CQI measurements. A PUCCH SCell cannot be in dormant state.</w:t>
      </w:r>
    </w:p>
    <w:p w14:paraId="24541F93" w14:textId="77777777" w:rsidR="007B47BD" w:rsidRDefault="007B47BD" w:rsidP="007B47BD">
      <w:r>
        <w:t xml:space="preserve">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w:t>
      </w:r>
      <w:proofErr w:type="gramStart"/>
      <w:r>
        <w:t>SCell</w:t>
      </w:r>
      <w:proofErr w:type="gramEnd"/>
      <w:r>
        <w:t xml:space="preserve"> but one common value is configured per UE by RRC.</w:t>
      </w:r>
    </w:p>
    <w:p w14:paraId="4A4C206B" w14:textId="77777777" w:rsidR="007B47BD" w:rsidRDefault="007B47BD" w:rsidP="007B47BD">
      <w:r>
        <w:t xml:space="preserve">The state transitions to and from dormant </w:t>
      </w:r>
      <w:proofErr w:type="spellStart"/>
      <w:r>
        <w:t>Scell</w:t>
      </w:r>
      <w:proofErr w:type="spellEnd"/>
      <w:r>
        <w:t xml:space="preserve"> state use MAC control elements.</w:t>
      </w:r>
    </w:p>
    <w:p w14:paraId="658496CA" w14:textId="77777777" w:rsidR="007B47BD" w:rsidRDefault="007B47BD" w:rsidP="007B47BD">
      <w:r>
        <w:t>At reconfiguration without mobility control information:</w:t>
      </w:r>
    </w:p>
    <w:p w14:paraId="2A99AF22" w14:textId="77777777" w:rsidR="007B47BD" w:rsidRDefault="007B47BD" w:rsidP="007B47BD">
      <w:pPr>
        <w:pStyle w:val="B1"/>
      </w:pPr>
      <w:r>
        <w:t>-</w:t>
      </w:r>
      <w:r>
        <w:tab/>
        <w:t>SCells added to the set of serving cells are initially "deactivated", "dormant" or "activated";</w:t>
      </w:r>
    </w:p>
    <w:p w14:paraId="64E06678" w14:textId="77777777" w:rsidR="007B47BD" w:rsidRDefault="007B47BD" w:rsidP="007B47BD">
      <w:pPr>
        <w:pStyle w:val="B1"/>
      </w:pPr>
      <w:r>
        <w:t>-</w:t>
      </w:r>
      <w:r>
        <w:tab/>
        <w:t>SCells which remain in the set of serving cells (either unchanged or reconfigured) do not change their activation status ("activated", "deactivated" or "dormant").</w:t>
      </w:r>
    </w:p>
    <w:p w14:paraId="0FC7EF80" w14:textId="4C0B515A" w:rsidR="007B47BD" w:rsidRDefault="007B47BD" w:rsidP="007B47BD">
      <w:r>
        <w:t>At reconfiguration with mobility control information (i.e. handover)</w:t>
      </w:r>
      <w:ins w:id="59" w:author="RAN2#107bis" w:date="2019-10-22T10:22:00Z">
        <w:r w:rsidR="002E77E7">
          <w:t xml:space="preserve"> or connection resum</w:t>
        </w:r>
      </w:ins>
      <w:ins w:id="60" w:author="RAN2#107bis" w:date="2019-10-22T10:56:00Z">
        <w:r w:rsidR="004300CB">
          <w:t>e</w:t>
        </w:r>
      </w:ins>
      <w:ins w:id="61" w:author="RAN2#107bis" w:date="2019-10-22T10:22:00Z">
        <w:r w:rsidR="002E77E7">
          <w:t xml:space="preserve"> from RRC_INACTIVE</w:t>
        </w:r>
      </w:ins>
      <w:r>
        <w:t>:</w:t>
      </w:r>
    </w:p>
    <w:p w14:paraId="043BB62E" w14:textId="29639D4C" w:rsidR="007B47BD" w:rsidRDefault="007B47BD" w:rsidP="007B47BD">
      <w:pPr>
        <w:pStyle w:val="B1"/>
        <w:rPr>
          <w:ins w:id="62" w:author="RAN2#107" w:date="2019-10-23T13:55:00Z"/>
          <w:lang w:eastAsia="zh-CN"/>
        </w:rPr>
      </w:pPr>
      <w:r>
        <w:rPr>
          <w:lang w:eastAsia="zh-CN"/>
        </w:rPr>
        <w:t>-</w:t>
      </w:r>
      <w:r>
        <w:rPr>
          <w:lang w:eastAsia="zh-CN"/>
        </w:rPr>
        <w:tab/>
        <w:t>SCells are "deactivated", "dormant" or "activated".</w:t>
      </w:r>
    </w:p>
    <w:p w14:paraId="76635132" w14:textId="77777777" w:rsidR="002D2095" w:rsidRDefault="002D2095" w:rsidP="002D2095">
      <w:pPr>
        <w:pStyle w:val="EditorsNote"/>
        <w:rPr>
          <w:ins w:id="63" w:author="RAN2#107bis" w:date="2019-10-23T13:56:00Z"/>
        </w:rPr>
      </w:pPr>
      <w:ins w:id="64" w:author="RAN2#107bis" w:date="2019-10-23T13:56:00Z">
        <w:r>
          <w:t xml:space="preserve">Editor's Note: </w:t>
        </w:r>
        <w:r w:rsidRPr="009F0AC6">
          <w:rPr>
            <w:lang w:val="en-US"/>
          </w:rPr>
          <w:t>D</w:t>
        </w:r>
        <w:r>
          <w:t>irect SCell activation in connection resume from RRC_INACTIVE needs further confirmation from RAN4</w:t>
        </w:r>
      </w:ins>
    </w:p>
    <w:p w14:paraId="6D9633DD" w14:textId="77777777" w:rsidR="002D2095" w:rsidRDefault="002D2095" w:rsidP="007B47BD">
      <w:pPr>
        <w:pStyle w:val="B1"/>
      </w:pPr>
    </w:p>
    <w:p w14:paraId="01C8AA6D" w14:textId="77777777" w:rsidR="007B47BD" w:rsidRDefault="007B47BD" w:rsidP="007B47BD">
      <w:pPr>
        <w:rPr>
          <w:lang w:eastAsia="zh-CN"/>
        </w:rPr>
      </w:pPr>
      <w:r>
        <w:rPr>
          <w:lang w:eastAsia="zh-CN"/>
        </w:rPr>
        <w:t xml:space="preserve">In DC, the serving cells of the MCG other than the PCell can only be activated/deactivated by the MAC Control Element received on MCG, and the serving cells of the SCG other than </w:t>
      </w:r>
      <w:r>
        <w:t>P</w:t>
      </w:r>
      <w:r>
        <w:rPr>
          <w:lang w:eastAsia="zh-CN"/>
        </w:rPr>
        <w:t>SCell can only be activated/</w:t>
      </w:r>
      <w:r>
        <w:t xml:space="preserve"> </w:t>
      </w:r>
      <w:r>
        <w:rPr>
          <w:lang w:eastAsia="zh-CN"/>
        </w:rPr>
        <w:t>deactivated by the MAC Control Element received on SCG. The MAC entity applies the bitmap for the associated cells</w:t>
      </w:r>
      <w:r>
        <w:rPr>
          <w:rFonts w:eastAsia="SimSun"/>
          <w:lang w:eastAsia="zh-CN"/>
        </w:rPr>
        <w:t xml:space="preserve"> of either MCG </w:t>
      </w:r>
      <w:r>
        <w:t>o</w:t>
      </w:r>
      <w:r>
        <w:rPr>
          <w:rFonts w:eastAsia="SimSun"/>
          <w:lang w:eastAsia="zh-CN"/>
        </w:rPr>
        <w:t xml:space="preserve">r SCG. </w:t>
      </w:r>
      <w:r>
        <w:t>P</w:t>
      </w:r>
      <w:r>
        <w:rPr>
          <w:rFonts w:eastAsia="SimSun"/>
          <w:lang w:eastAsia="zh-CN"/>
        </w:rPr>
        <w:t xml:space="preserve">SCell in SCG is always activated like the PCell (i.e. deactivation timer is not applied to </w:t>
      </w:r>
      <w:r>
        <w:t>P</w:t>
      </w:r>
      <w:r>
        <w:rPr>
          <w:rFonts w:eastAsia="SimSun"/>
          <w:lang w:eastAsia="zh-CN"/>
        </w:rPr>
        <w:t xml:space="preserve">SCell). </w:t>
      </w:r>
      <w:r>
        <w:rPr>
          <w:lang w:eastAsia="zh-CN"/>
        </w:rPr>
        <w:t>With the exception of PUCCH SCell, o</w:t>
      </w:r>
      <w:r>
        <w:rPr>
          <w:rFonts w:eastAsia="SimSun"/>
          <w:lang w:eastAsia="zh-CN"/>
        </w:rPr>
        <w:t xml:space="preserve">ne deactivation timer is maintained per </w:t>
      </w:r>
      <w:proofErr w:type="gramStart"/>
      <w:r>
        <w:rPr>
          <w:rFonts w:eastAsia="SimSun"/>
          <w:lang w:eastAsia="zh-CN"/>
        </w:rPr>
        <w:t>SCell</w:t>
      </w:r>
      <w:proofErr w:type="gramEnd"/>
      <w:r>
        <w:rPr>
          <w:rFonts w:eastAsia="SimSun"/>
          <w:lang w:eastAsia="zh-CN"/>
        </w:rPr>
        <w:t xml:space="preserve"> but one common value is configured per CG by RRC.</w:t>
      </w:r>
    </w:p>
    <w:p w14:paraId="6CC9E4BB" w14:textId="0C0983E5" w:rsidR="007B47BD" w:rsidRDefault="007B47BD" w:rsidP="00815185">
      <w:pPr>
        <w:rPr>
          <w:noProof/>
        </w:rPr>
      </w:pPr>
    </w:p>
    <w:p w14:paraId="2A1636E9" w14:textId="77777777"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64158EDA" w14:textId="77777777" w:rsidR="007B47BD" w:rsidRDefault="007B47BD" w:rsidP="00815185">
      <w:pPr>
        <w:rPr>
          <w:noProof/>
        </w:rPr>
      </w:pPr>
    </w:p>
    <w:p w14:paraId="1EEF9981" w14:textId="77777777" w:rsidR="007B47BD" w:rsidRDefault="007B47BD" w:rsidP="00815185">
      <w:pPr>
        <w:rPr>
          <w:noProof/>
        </w:rPr>
      </w:pPr>
    </w:p>
    <w:p w14:paraId="60AC322C" w14:textId="77777777" w:rsidR="00815185" w:rsidRDefault="00815185" w:rsidP="007B6CEF">
      <w:pPr>
        <w:pStyle w:val="Heading1"/>
      </w:pPr>
      <w:r>
        <w:lastRenderedPageBreak/>
        <w:t>Annex (not part of the specification): RAN2 Agreements</w:t>
      </w:r>
    </w:p>
    <w:p w14:paraId="490DAD22" w14:textId="3157CBEB" w:rsidR="00815185" w:rsidRDefault="00815185" w:rsidP="00815185">
      <w:pPr>
        <w:pStyle w:val="Doc-text2"/>
        <w:tabs>
          <w:tab w:val="left" w:pos="0"/>
        </w:tabs>
        <w:ind w:left="0" w:firstLine="0"/>
        <w:rPr>
          <w:noProof/>
        </w:rPr>
      </w:pPr>
      <w:r>
        <w:rPr>
          <w:noProof/>
        </w:rPr>
        <w:t>This Annex contains the RAN2 agreements on Rel-16 WI for “</w:t>
      </w:r>
      <w:r w:rsidR="00420DB2" w:rsidRPr="001E0A5C">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t>Sending early measurement report is network controlled</w:t>
      </w:r>
    </w:p>
    <w:p w14:paraId="50CB528F"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8</w:t>
      </w:r>
      <w:r w:rsidRPr="00D6384F">
        <w:tab/>
        <w:t xml:space="preserve">For NR INACTIVE, early measurement reporting can be sent in RRCResumeComplete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037966F8" w14:textId="77777777" w:rsidR="00A103AE" w:rsidRPr="00F401FF" w:rsidRDefault="00A103AE" w:rsidP="00A103AE">
      <w:pPr>
        <w:pStyle w:val="Heading2"/>
        <w:ind w:left="0" w:firstLine="0"/>
        <w:rPr>
          <w:rFonts w:eastAsia="Malgun Gothic"/>
          <w:lang w:val="en-US"/>
        </w:rPr>
      </w:pPr>
      <w:r>
        <w:rPr>
          <w:rFonts w:eastAsia="Malgun Gothic"/>
        </w:rPr>
        <w:t>RAN2#10</w:t>
      </w:r>
      <w:r>
        <w:rPr>
          <w:rFonts w:eastAsia="Malgun Gothic"/>
          <w:lang w:val="en-US"/>
        </w:rPr>
        <w:t>7</w:t>
      </w:r>
    </w:p>
    <w:p w14:paraId="636FF53C"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591FE107" w14:textId="77777777" w:rsidR="00A103AE" w:rsidRPr="002B627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C77547">
        <w:rPr>
          <w:highlight w:val="yellow"/>
          <w:lang w:val="en-US"/>
        </w:rPr>
        <w:t>1</w:t>
      </w:r>
      <w:r w:rsidRPr="00C77547">
        <w:rPr>
          <w:highlight w:val="yellow"/>
          <w:lang w:val="en-US"/>
        </w:rPr>
        <w:tab/>
        <w:t xml:space="preserve">The LTE RRCConnectionResume message (Inactive to Connected) can contain the MCG SCell configuration and the associated UE </w:t>
      </w:r>
      <w:proofErr w:type="spellStart"/>
      <w:r w:rsidRPr="00C77547">
        <w:rPr>
          <w:highlight w:val="yellow"/>
          <w:lang w:val="en-US"/>
        </w:rPr>
        <w:t>behaviour</w:t>
      </w:r>
      <w:proofErr w:type="spellEnd"/>
      <w:r w:rsidRPr="00C77547">
        <w:rPr>
          <w:highlight w:val="yellow"/>
          <w:lang w:val="en-US"/>
        </w:rPr>
        <w:t xml:space="preserve"> in handling the SCell configuration is the same as in the Rel-15 RRC connection reconfiguration procedure.</w:t>
      </w:r>
      <w:r w:rsidRPr="002B627A">
        <w:rPr>
          <w:lang w:val="en-US"/>
        </w:rPr>
        <w:t xml:space="preserve"> </w:t>
      </w:r>
    </w:p>
    <w:p w14:paraId="3708A867"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62314F9B"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 xml:space="preserve">The RRC(Connection)Resume message contains an indication to restore/resume the MCG SCells (noting that </w:t>
      </w:r>
      <w:proofErr w:type="spellStart"/>
      <w:r w:rsidRPr="0024539A">
        <w:rPr>
          <w:highlight w:val="yellow"/>
          <w:lang w:val="en-US"/>
        </w:rPr>
        <w:t>behaviour</w:t>
      </w:r>
      <w:proofErr w:type="spellEnd"/>
      <w:r w:rsidRPr="0024539A">
        <w:rPr>
          <w:highlight w:val="yellow"/>
          <w:lang w:val="en-US"/>
        </w:rPr>
        <w:t xml:space="preserve"> in legacy eNBs that don't support this feature needs to be considered).</w:t>
      </w:r>
    </w:p>
    <w:p w14:paraId="18C7E57F"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w:t>
      </w:r>
      <w:proofErr w:type="gramStart"/>
      <w:r w:rsidRPr="0024539A">
        <w:rPr>
          <w:highlight w:val="yellow"/>
          <w:lang w:val="en-US"/>
        </w:rPr>
        <w:t>))message</w:t>
      </w:r>
      <w:proofErr w:type="gramEnd"/>
      <w:r w:rsidRPr="0024539A">
        <w:rPr>
          <w:highlight w:val="yellow"/>
          <w:lang w:val="en-US"/>
        </w:rPr>
        <w:t xml:space="preserve"> can contain the SCG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SCG configuration is the same as in the Rel-15 RRC (connection) reconfiguration procedure.</w:t>
      </w:r>
    </w:p>
    <w:p w14:paraId="47BBFA19" w14:textId="77777777" w:rsidR="00A103AE" w:rsidRPr="002B627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5</w:t>
      </w:r>
      <w:r w:rsidRPr="002B627A">
        <w:rPr>
          <w:lang w:val="en-US"/>
        </w:rPr>
        <w:tab/>
        <w:t>In NR and LTE Rel-16, the UE maintains the SCG configuration upon the initiation of the resume procedure.</w:t>
      </w:r>
    </w:p>
    <w:p w14:paraId="11767D6E" w14:textId="77777777" w:rsidR="00A103AE"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6</w:t>
      </w:r>
      <w:r w:rsidRPr="002B627A">
        <w:rPr>
          <w:lang w:val="en-US"/>
        </w:rPr>
        <w:tab/>
        <w:t xml:space="preserve">The RRC(Connection)Resume message contains an indication to restore/resume the SCG (noting that </w:t>
      </w:r>
      <w:proofErr w:type="spellStart"/>
      <w:r w:rsidRPr="002B627A">
        <w:rPr>
          <w:lang w:val="en-US"/>
        </w:rPr>
        <w:t>behaviour</w:t>
      </w:r>
      <w:proofErr w:type="spellEnd"/>
      <w:r w:rsidRPr="002B627A">
        <w:rPr>
          <w:lang w:val="en-US"/>
        </w:rPr>
        <w:t xml:space="preserve"> in legacy e/gNBs that don't support this feature needs to be considered).</w:t>
      </w:r>
    </w:p>
    <w:p w14:paraId="09B6B177" w14:textId="77777777" w:rsidR="00A103AE" w:rsidRDefault="00A103AE" w:rsidP="00A103AE">
      <w:pPr>
        <w:pStyle w:val="Doc-text2"/>
        <w:pBdr>
          <w:top w:val="single" w:sz="4" w:space="1" w:color="auto"/>
          <w:left w:val="single" w:sz="4" w:space="4" w:color="auto"/>
          <w:bottom w:val="single" w:sz="4" w:space="1" w:color="auto"/>
          <w:right w:val="single" w:sz="4" w:space="4" w:color="auto"/>
        </w:pBdr>
        <w:rPr>
          <w:lang w:val="en-US"/>
        </w:rPr>
      </w:pPr>
    </w:p>
    <w:p w14:paraId="40C2E72A" w14:textId="77777777" w:rsidR="00A103AE" w:rsidRDefault="00A103AE" w:rsidP="00A103AE">
      <w:pPr>
        <w:rPr>
          <w:rFonts w:eastAsia="Malgun Gothic"/>
        </w:rPr>
      </w:pPr>
    </w:p>
    <w:p w14:paraId="102B144C" w14:textId="77777777" w:rsidR="00A103AE" w:rsidRPr="00F401FF" w:rsidRDefault="00A103AE" w:rsidP="00A103AE">
      <w:pPr>
        <w:pStyle w:val="Heading2"/>
        <w:ind w:left="0" w:firstLine="0"/>
        <w:rPr>
          <w:rFonts w:eastAsia="Malgun Gothic"/>
          <w:lang w:val="en-US"/>
        </w:rPr>
      </w:pPr>
      <w:r>
        <w:rPr>
          <w:rFonts w:eastAsia="Malgun Gothic"/>
        </w:rPr>
        <w:t>RAN2#10</w:t>
      </w:r>
      <w:r>
        <w:rPr>
          <w:rFonts w:eastAsia="Malgun Gothic"/>
          <w:lang w:val="en-US"/>
        </w:rPr>
        <w:t>7bis</w:t>
      </w:r>
    </w:p>
    <w:p w14:paraId="5FB65983"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The benefit of P1 seems to be to avoid the potential failure that occur if the UE resumes SCG out of coverage of the SCG (SCG failure)</w:t>
      </w:r>
    </w:p>
    <w:p w14:paraId="7194CF61"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highlight w:val="yellow"/>
          <w:lang w:val="en-US"/>
        </w:rPr>
      </w:pPr>
      <w:r w:rsidRPr="009461BF">
        <w:rPr>
          <w:highlight w:val="yellow"/>
          <w:lang w:val="en-US"/>
        </w:rPr>
        <w:t>Direct SCell activation (setting the SCell state to activated or deactivated) in resume message is supported, if R4 can confirm that there are no blocking issues from their point of view</w:t>
      </w:r>
    </w:p>
    <w:p w14:paraId="74E49F71"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 xml:space="preserve">When the UE resumes to a cell included in the stored SCG, </w:t>
      </w:r>
      <w:proofErr w:type="gramStart"/>
      <w:r w:rsidRPr="009461BF">
        <w:rPr>
          <w:lang w:val="en-US"/>
        </w:rPr>
        <w:t>particular functionality</w:t>
      </w:r>
      <w:proofErr w:type="gramEnd"/>
      <w:r w:rsidRPr="009461BF">
        <w:rPr>
          <w:lang w:val="en-US"/>
        </w:rPr>
        <w:t xml:space="preserve"> for swapping of MCG and SCG configurations is not considered for Rel16 </w:t>
      </w:r>
    </w:p>
    <w:p w14:paraId="01C59EC7"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New conditions/triggers for resuming directly to the SN are not considered in Rel16.</w:t>
      </w:r>
    </w:p>
    <w:p w14:paraId="1568DAFD" w14:textId="77777777" w:rsidR="00A103AE" w:rsidRPr="009461BF" w:rsidRDefault="00A103AE" w:rsidP="00A103AE">
      <w:pPr>
        <w:rPr>
          <w:lang w:val="en-US"/>
        </w:rPr>
      </w:pPr>
    </w:p>
    <w:p w14:paraId="72A5D335" w14:textId="77777777" w:rsidR="00A103AE" w:rsidRPr="0024539A" w:rsidRDefault="00A103AE" w:rsidP="00A103AE">
      <w:pPr>
        <w:rPr>
          <w:lang w:val="en-US"/>
        </w:rPr>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F79B2" w14:textId="77777777" w:rsidR="008F59DF" w:rsidRDefault="008F59DF">
      <w:r>
        <w:separator/>
      </w:r>
    </w:p>
  </w:endnote>
  <w:endnote w:type="continuationSeparator" w:id="0">
    <w:p w14:paraId="535A0E70" w14:textId="77777777" w:rsidR="008F59DF" w:rsidRDefault="008F59DF">
      <w:r>
        <w:continuationSeparator/>
      </w:r>
    </w:p>
  </w:endnote>
  <w:endnote w:type="continuationNotice" w:id="1">
    <w:p w14:paraId="3C7193E7" w14:textId="77777777" w:rsidR="008F59DF" w:rsidRDefault="008F5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18AF2" w14:textId="77777777" w:rsidR="008F59DF" w:rsidRDefault="008F59DF">
      <w:r>
        <w:separator/>
      </w:r>
    </w:p>
  </w:footnote>
  <w:footnote w:type="continuationSeparator" w:id="0">
    <w:p w14:paraId="5B59C2DF" w14:textId="77777777" w:rsidR="008F59DF" w:rsidRDefault="008F59DF">
      <w:r>
        <w:continuationSeparator/>
      </w:r>
    </w:p>
  </w:footnote>
  <w:footnote w:type="continuationNotice" w:id="1">
    <w:p w14:paraId="141B0AA1" w14:textId="77777777" w:rsidR="008F59DF" w:rsidRDefault="008F59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5bis">
    <w15:presenceInfo w15:providerId="None" w15:userId="RAN2#105bis"/>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D39"/>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1987"/>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8D0"/>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1A57"/>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3D9"/>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B7EB7"/>
    <w:rsid w:val="002C07A4"/>
    <w:rsid w:val="002C0A4D"/>
    <w:rsid w:val="002C11D6"/>
    <w:rsid w:val="002C275A"/>
    <w:rsid w:val="002C351E"/>
    <w:rsid w:val="002C5517"/>
    <w:rsid w:val="002C5DE3"/>
    <w:rsid w:val="002C7F5F"/>
    <w:rsid w:val="002D0381"/>
    <w:rsid w:val="002D078C"/>
    <w:rsid w:val="002D2095"/>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7E7"/>
    <w:rsid w:val="002F16B8"/>
    <w:rsid w:val="002F2669"/>
    <w:rsid w:val="002F37D3"/>
    <w:rsid w:val="002F5970"/>
    <w:rsid w:val="002F6C79"/>
    <w:rsid w:val="002F7982"/>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6C07"/>
    <w:rsid w:val="0041716E"/>
    <w:rsid w:val="00417CB3"/>
    <w:rsid w:val="00420DB2"/>
    <w:rsid w:val="00420F3C"/>
    <w:rsid w:val="0042224B"/>
    <w:rsid w:val="00422829"/>
    <w:rsid w:val="0042350A"/>
    <w:rsid w:val="00423D3F"/>
    <w:rsid w:val="004242F1"/>
    <w:rsid w:val="004275C3"/>
    <w:rsid w:val="0042775B"/>
    <w:rsid w:val="00427C75"/>
    <w:rsid w:val="004300CB"/>
    <w:rsid w:val="004318C0"/>
    <w:rsid w:val="004321E3"/>
    <w:rsid w:val="00433335"/>
    <w:rsid w:val="00434DC1"/>
    <w:rsid w:val="00437061"/>
    <w:rsid w:val="00437089"/>
    <w:rsid w:val="00437F8E"/>
    <w:rsid w:val="004408A9"/>
    <w:rsid w:val="004418E7"/>
    <w:rsid w:val="00441A23"/>
    <w:rsid w:val="0044311D"/>
    <w:rsid w:val="004446FD"/>
    <w:rsid w:val="00444957"/>
    <w:rsid w:val="00446A08"/>
    <w:rsid w:val="00450FE9"/>
    <w:rsid w:val="00452275"/>
    <w:rsid w:val="00453800"/>
    <w:rsid w:val="00454960"/>
    <w:rsid w:val="004555BF"/>
    <w:rsid w:val="00455C61"/>
    <w:rsid w:val="00455C7F"/>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65D0"/>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29F"/>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235"/>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2755"/>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7BD"/>
    <w:rsid w:val="007B4B99"/>
    <w:rsid w:val="007B512A"/>
    <w:rsid w:val="007B5FE0"/>
    <w:rsid w:val="007B6CEF"/>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70C"/>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1934"/>
    <w:rsid w:val="0082292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6735"/>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59DF"/>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351BD"/>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03AE"/>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2D8B"/>
    <w:rsid w:val="00AD33A7"/>
    <w:rsid w:val="00AD37B5"/>
    <w:rsid w:val="00AD3E39"/>
    <w:rsid w:val="00AD4309"/>
    <w:rsid w:val="00AD6394"/>
    <w:rsid w:val="00AD6799"/>
    <w:rsid w:val="00AD773D"/>
    <w:rsid w:val="00AD781B"/>
    <w:rsid w:val="00AE00DC"/>
    <w:rsid w:val="00AE0B4F"/>
    <w:rsid w:val="00AE1BE0"/>
    <w:rsid w:val="00AE1E0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5975"/>
    <w:rsid w:val="00C77547"/>
    <w:rsid w:val="00C81F3C"/>
    <w:rsid w:val="00C82D07"/>
    <w:rsid w:val="00C83536"/>
    <w:rsid w:val="00C841C4"/>
    <w:rsid w:val="00C84FE7"/>
    <w:rsid w:val="00C85546"/>
    <w:rsid w:val="00C8571E"/>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1DFF"/>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4ABA"/>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39FD"/>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52755"/>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2071269">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5469886">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23622510">
      <w:bodyDiv w:val="1"/>
      <w:marLeft w:val="0"/>
      <w:marRight w:val="0"/>
      <w:marTop w:val="0"/>
      <w:marBottom w:val="0"/>
      <w:divBdr>
        <w:top w:val="none" w:sz="0" w:space="0" w:color="auto"/>
        <w:left w:val="none" w:sz="0" w:space="0" w:color="auto"/>
        <w:bottom w:val="none" w:sz="0" w:space="0" w:color="auto"/>
        <w:right w:val="none" w:sz="0" w:space="0" w:color="auto"/>
      </w:divBdr>
    </w:div>
    <w:div w:id="116204190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810066">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2916563">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031EE4-8110-4A05-BF60-C08A97DD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45B80-A3F8-4A3D-9A35-32B6D00F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2786</Words>
  <Characters>14767</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17518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6</cp:revision>
  <cp:lastPrinted>2018-03-06T08:25:00Z</cp:lastPrinted>
  <dcterms:created xsi:type="dcterms:W3CDTF">2019-10-23T11:57:00Z</dcterms:created>
  <dcterms:modified xsi:type="dcterms:W3CDTF">2019-11-07T16:48:00Z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